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Contractor Safety Management System - API RP 1173 Compliance</w:t>
      </w:r>
    </w:p>
    <w:p>
      <w:pPr>
        <w:pStyle w:val="Heading2"/>
      </w:pPr>
      <w:r>
        <w:t>Overview</w:t>
      </w:r>
    </w:p>
    <w:p>
      <w:pPr>
        <w:spacing w:after="120"/>
      </w:pPr>
      <w:r>
        <w:t>This document outlines what should be included in a Contractor's Safety Management System (CSMS) to align with API Recommended Practice 1173 (API RP 1173) for Pipeline Safety Management Systems.</w:t>
      </w:r>
    </w:p>
    <w:p>
      <w:pPr>
        <w:spacing w:after="120"/>
      </w:pPr>
      <w:r>
        <w:t>API 1173 includes 10 core elements that contractors are expected to support and align with.</w:t>
      </w:r>
    </w:p>
    <w:p>
      <w:pPr>
        <w:pStyle w:val="Heading2"/>
      </w:pPr>
      <w:r>
        <w:t>1. Leadership and Management Commitment</w:t>
      </w:r>
    </w:p>
    <w:p>
      <w:pPr>
        <w:spacing w:after="120"/>
      </w:pPr>
      <w:r>
        <w:t>- Demonstrate visible commitment to safety at all levels.</w:t>
      </w:r>
    </w:p>
    <w:p>
      <w:pPr>
        <w:spacing w:after="120"/>
      </w:pPr>
      <w:r>
        <w:t>- Define clear responsibilities and foster a safety culture.</w:t>
      </w:r>
    </w:p>
    <w:p>
      <w:pPr>
        <w:pStyle w:val="Heading2"/>
      </w:pPr>
      <w:r>
        <w:t>2. Stakeholder Engagement</w:t>
      </w:r>
    </w:p>
    <w:p>
      <w:pPr>
        <w:spacing w:after="120"/>
      </w:pPr>
      <w:r>
        <w:t>- Communicate with pipeline operators.</w:t>
      </w:r>
    </w:p>
    <w:p>
      <w:pPr>
        <w:spacing w:after="120"/>
      </w:pPr>
      <w:r>
        <w:t>- Attend safety meetings and share safety concerns.</w:t>
      </w:r>
    </w:p>
    <w:p>
      <w:pPr>
        <w:spacing w:after="120"/>
      </w:pPr>
      <w:r>
        <w:t>- Involve employees in safety discussions.</w:t>
      </w:r>
    </w:p>
    <w:p>
      <w:pPr>
        <w:pStyle w:val="Heading2"/>
      </w:pPr>
      <w:r>
        <w:t>3. Risk Management</w:t>
      </w:r>
    </w:p>
    <w:p>
      <w:pPr>
        <w:spacing w:after="120"/>
      </w:pPr>
      <w:r>
        <w:t>- Identify, evaluate, and mitigate operational risks.</w:t>
      </w:r>
    </w:p>
    <w:p>
      <w:pPr>
        <w:spacing w:after="120"/>
      </w:pPr>
      <w:r>
        <w:t>- Participate in operator hazard analyses (e.g., JSAs).</w:t>
      </w:r>
    </w:p>
    <w:p>
      <w:pPr>
        <w:spacing w:after="120"/>
      </w:pPr>
      <w:r>
        <w:t>- Use consistent risk evaluation processes.</w:t>
      </w:r>
    </w:p>
    <w:p>
      <w:pPr>
        <w:pStyle w:val="Heading2"/>
      </w:pPr>
      <w:r>
        <w:t>4. Operational Controls</w:t>
      </w:r>
    </w:p>
    <w:p>
      <w:pPr>
        <w:spacing w:after="120"/>
      </w:pPr>
      <w:r>
        <w:t>- Follow documented procedures for safety-critical tasks (e.g., hot work, excavation).</w:t>
      </w:r>
    </w:p>
    <w:p>
      <w:pPr>
        <w:spacing w:after="120"/>
      </w:pPr>
      <w:r>
        <w:t>- Implement stop-work authority and review controls regularly.</w:t>
      </w:r>
    </w:p>
    <w:p>
      <w:pPr>
        <w:pStyle w:val="Heading2"/>
      </w:pPr>
      <w:r>
        <w:t>5. Incident Investigation</w:t>
      </w:r>
    </w:p>
    <w:p>
      <w:pPr>
        <w:spacing w:after="120"/>
      </w:pPr>
      <w:r>
        <w:t>- Report incidents and near misses promptly.</w:t>
      </w:r>
    </w:p>
    <w:p>
      <w:pPr>
        <w:spacing w:after="120"/>
      </w:pPr>
      <w:r>
        <w:t>- Conduct root cause analyses and track corrective actions.</w:t>
      </w:r>
    </w:p>
    <w:p>
      <w:pPr>
        <w:spacing w:after="120"/>
      </w:pPr>
      <w:r>
        <w:t>- Participate in joint investigations as required.</w:t>
      </w:r>
    </w:p>
    <w:p>
      <w:pPr>
        <w:pStyle w:val="Heading2"/>
      </w:pPr>
      <w:r>
        <w:t>6. Safety Assurance</w:t>
      </w:r>
    </w:p>
    <w:p>
      <w:pPr>
        <w:spacing w:after="120"/>
      </w:pPr>
      <w:r>
        <w:t>- Conduct self-audits and participate in operator audits.</w:t>
      </w:r>
    </w:p>
    <w:p>
      <w:pPr>
        <w:spacing w:after="120"/>
      </w:pPr>
      <w:r>
        <w:t>- Monitor key safety indicators.</w:t>
      </w:r>
    </w:p>
    <w:p>
      <w:pPr>
        <w:spacing w:after="120"/>
      </w:pPr>
      <w:r>
        <w:t>- Provide performance documentation.</w:t>
      </w:r>
    </w:p>
    <w:p>
      <w:pPr>
        <w:pStyle w:val="Heading2"/>
      </w:pPr>
      <w:r>
        <w:t>7. Management Review</w:t>
      </w:r>
    </w:p>
    <w:p>
      <w:pPr>
        <w:spacing w:after="120"/>
      </w:pPr>
      <w:r>
        <w:t>- Perform regular reviews of the contractor’s SMS.</w:t>
      </w:r>
    </w:p>
    <w:p>
      <w:pPr>
        <w:spacing w:after="120"/>
      </w:pPr>
      <w:r>
        <w:t>- Consider audit results, incident trends, and feedback.</w:t>
      </w:r>
    </w:p>
    <w:p>
      <w:pPr>
        <w:pStyle w:val="Heading2"/>
      </w:pPr>
      <w:r>
        <w:t>8. Emergency Preparedness and Response</w:t>
      </w:r>
    </w:p>
    <w:p>
      <w:pPr>
        <w:spacing w:after="120"/>
      </w:pPr>
      <w:r>
        <w:t>- Align emergency plans with the operator’s.</w:t>
      </w:r>
    </w:p>
    <w:p>
      <w:pPr>
        <w:spacing w:after="120"/>
      </w:pPr>
      <w:r>
        <w:t>- Train employees and participate in emergency drills.</w:t>
      </w:r>
    </w:p>
    <w:p>
      <w:pPr>
        <w:pStyle w:val="Heading2"/>
      </w:pPr>
      <w:r>
        <w:t>9. Competence, Awareness, and Training</w:t>
      </w:r>
    </w:p>
    <w:p>
      <w:pPr>
        <w:spacing w:after="120"/>
      </w:pPr>
      <w:r>
        <w:t>- Ensure workers are trained, qualified, and aware of job-specific hazards.</w:t>
      </w:r>
    </w:p>
    <w:p>
      <w:pPr>
        <w:spacing w:after="120"/>
      </w:pPr>
      <w:r>
        <w:t>- Maintain training and qualification records.</w:t>
      </w:r>
    </w:p>
    <w:p>
      <w:pPr>
        <w:pStyle w:val="Heading2"/>
      </w:pPr>
      <w:r>
        <w:t>10. Documentation and Recordkeeping</w:t>
      </w:r>
    </w:p>
    <w:p>
      <w:pPr>
        <w:spacing w:after="120"/>
      </w:pPr>
      <w:r>
        <w:t>- Keep accurate, accessible records of training, audits, incidents, and safety activities.</w:t>
      </w:r>
    </w:p>
    <w:p>
      <w:pPr>
        <w:pStyle w:val="Heading2"/>
      </w:pPr>
      <w:r>
        <w:t>Additional Key Requirements</w:t>
      </w:r>
    </w:p>
    <w:p>
      <w:pPr>
        <w:spacing w:after="120"/>
      </w:pPr>
      <w:r>
        <w:t>- Ensure subcontractor compliance.</w:t>
      </w:r>
    </w:p>
    <w:p>
      <w:pPr>
        <w:spacing w:after="120"/>
      </w:pPr>
      <w:r>
        <w:t>- Promote a shared safety culture.</w:t>
      </w:r>
    </w:p>
    <w:p>
      <w:pPr>
        <w:spacing w:after="120"/>
      </w:pPr>
      <w:r>
        <w:t>- Integrate contractor SMS with the operator’s system.</w:t>
      </w:r>
    </w:p>
    <w:p>
      <w:pPr>
        <w:spacing w:after="120"/>
      </w:pPr>
    </w:p>
    <w:p>
      <w:pPr>
        <w:spacing w:after="120"/>
      </w:pPr>
      <w:r>
        <w:t>This document serves as a checklist for developing or auditing a CSMS that meets the expectations of API RP 1173.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